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9" w:rsidRDefault="00527539" w:rsidP="00527539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吳泰伯教授還願獎學金辦法</w:t>
      </w:r>
    </w:p>
    <w:p w:rsidR="00527539" w:rsidRDefault="00527539" w:rsidP="00527539">
      <w:pPr>
        <w:pStyle w:val="Default"/>
        <w:jc w:val="right"/>
        <w:rPr>
          <w:rFonts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>
        <w:rPr>
          <w:rFonts w:hAnsi="Times New Roman" w:hint="eastAsia"/>
          <w:sz w:val="16"/>
          <w:szCs w:val="16"/>
        </w:rPr>
        <w:t>年</w:t>
      </w:r>
      <w:r>
        <w:rPr>
          <w:rFonts w:ascii="Times New Roman" w:hAnsi="Times New Roman" w:cs="Times New Roman"/>
          <w:sz w:val="16"/>
          <w:szCs w:val="16"/>
        </w:rPr>
        <w:t>11</w:t>
      </w:r>
      <w:r>
        <w:rPr>
          <w:rFonts w:hAnsi="Times New Roman" w:hint="eastAsia"/>
          <w:sz w:val="16"/>
          <w:szCs w:val="16"/>
        </w:rPr>
        <w:t>月</w:t>
      </w:r>
      <w:r>
        <w:rPr>
          <w:rFonts w:ascii="Times New Roman" w:hAnsi="Times New Roman" w:cs="Times New Roman"/>
          <w:sz w:val="16"/>
          <w:szCs w:val="16"/>
        </w:rPr>
        <w:t>11</w:t>
      </w:r>
      <w:r>
        <w:rPr>
          <w:rFonts w:hAnsi="Times New Roman" w:hint="eastAsia"/>
          <w:sz w:val="16"/>
          <w:szCs w:val="16"/>
        </w:rPr>
        <w:t>日訂定</w:t>
      </w:r>
    </w:p>
    <w:p w:rsidR="00527539" w:rsidRDefault="00527539" w:rsidP="00527539">
      <w:pPr>
        <w:pStyle w:val="Default"/>
        <w:jc w:val="right"/>
        <w:rPr>
          <w:rFonts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100</w:t>
      </w:r>
      <w:r>
        <w:rPr>
          <w:rFonts w:hAnsi="Times New Roman" w:hint="eastAsia"/>
          <w:sz w:val="16"/>
          <w:szCs w:val="16"/>
        </w:rPr>
        <w:t>年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hAnsi="Times New Roman" w:hint="eastAsia"/>
          <w:sz w:val="16"/>
          <w:szCs w:val="16"/>
        </w:rPr>
        <w:t>月</w:t>
      </w:r>
      <w:r>
        <w:rPr>
          <w:rFonts w:ascii="Times New Roman" w:hAnsi="Times New Roman" w:cs="Times New Roman"/>
          <w:sz w:val="16"/>
          <w:szCs w:val="16"/>
        </w:rPr>
        <w:t>31</w:t>
      </w:r>
      <w:r>
        <w:rPr>
          <w:rFonts w:hAnsi="Times New Roman" w:hint="eastAsia"/>
          <w:sz w:val="16"/>
          <w:szCs w:val="16"/>
        </w:rPr>
        <w:t>日修訂第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hAnsi="Times New Roman" w:hint="eastAsia"/>
          <w:sz w:val="16"/>
          <w:szCs w:val="16"/>
        </w:rPr>
        <w:t>條第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hAnsi="Times New Roman" w:hint="eastAsia"/>
          <w:sz w:val="16"/>
          <w:szCs w:val="16"/>
        </w:rPr>
        <w:t>項</w:t>
      </w:r>
    </w:p>
    <w:p w:rsidR="00527539" w:rsidRDefault="00527539" w:rsidP="00527539">
      <w:pPr>
        <w:pStyle w:val="Default"/>
        <w:jc w:val="right"/>
        <w:rPr>
          <w:rFonts w:hAnsi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106</w:t>
      </w:r>
      <w:r>
        <w:rPr>
          <w:rFonts w:hAnsi="Times New Roman" w:hint="eastAsia"/>
          <w:color w:val="FF0000"/>
          <w:sz w:val="16"/>
          <w:szCs w:val="16"/>
        </w:rPr>
        <w:t>年</w:t>
      </w:r>
      <w:r>
        <w:rPr>
          <w:rFonts w:ascii="Times New Roman" w:hAnsi="Times New Roman" w:cs="Times New Roman"/>
          <w:color w:val="FF0000"/>
          <w:sz w:val="16"/>
          <w:szCs w:val="16"/>
        </w:rPr>
        <w:t>11</w:t>
      </w:r>
      <w:r>
        <w:rPr>
          <w:rFonts w:hAnsi="Times New Roman" w:hint="eastAsia"/>
          <w:color w:val="FF0000"/>
          <w:sz w:val="16"/>
          <w:szCs w:val="16"/>
        </w:rPr>
        <w:t>月</w:t>
      </w:r>
      <w:r>
        <w:rPr>
          <w:rFonts w:ascii="Times New Roman" w:hAnsi="Times New Roman" w:cs="Times New Roman"/>
          <w:color w:val="FF0000"/>
          <w:sz w:val="16"/>
          <w:szCs w:val="16"/>
        </w:rPr>
        <w:t>24</w:t>
      </w:r>
      <w:r>
        <w:rPr>
          <w:rFonts w:hAnsi="Times New Roman" w:hint="eastAsia"/>
          <w:color w:val="FF0000"/>
          <w:sz w:val="16"/>
          <w:szCs w:val="16"/>
        </w:rPr>
        <w:t>日修訂第</w:t>
      </w:r>
      <w:r>
        <w:rPr>
          <w:rFonts w:ascii="Times New Roman" w:hAnsi="Times New Roman" w:cs="Times New Roman"/>
          <w:color w:val="FF0000"/>
          <w:sz w:val="16"/>
          <w:szCs w:val="16"/>
        </w:rPr>
        <w:t>3</w:t>
      </w:r>
      <w:r>
        <w:rPr>
          <w:rFonts w:hAnsi="Times New Roman" w:hint="eastAsia"/>
          <w:color w:val="FF0000"/>
          <w:sz w:val="16"/>
          <w:szCs w:val="16"/>
        </w:rPr>
        <w:t>條</w:t>
      </w:r>
      <w:r>
        <w:rPr>
          <w:rFonts w:hAnsi="Times New Roman"/>
          <w:color w:val="FF0000"/>
          <w:sz w:val="16"/>
          <w:szCs w:val="16"/>
        </w:rPr>
        <w:t xml:space="preserve"> 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為紀念吳泰伯教授並幫助清華大學材料系學生減輕經濟負擔，特設立「吳泰伯教授還願獎學金」。</w:t>
      </w:r>
      <w:r w:rsidRPr="005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本獎學金歡迎系友及社會各界認捐，並為使獎學金能生生不息，獲獎人於就業後有適當能力時，希望能主動回饋，以發揮本獎學金之精神。</w:t>
      </w:r>
      <w:r w:rsidRPr="005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本獎學金之運作及審核，由「吳泰伯教授還願獎學金委員會」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以下簡稱委員會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議決。委員會成員包括：吳教授之家屬代表</w:t>
      </w:r>
      <w:bookmarkStart w:id="0" w:name="_GoBack"/>
      <w:bookmarkEnd w:id="0"/>
      <w:r w:rsidRPr="001B54B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27539">
        <w:rPr>
          <w:rFonts w:ascii="Times New Roman" w:hAnsi="Times New Roman" w:cs="Times New Roman"/>
          <w:sz w:val="28"/>
          <w:szCs w:val="28"/>
        </w:rPr>
        <w:t>人，材料系代表</w:t>
      </w:r>
      <w:r w:rsidRPr="00527539">
        <w:rPr>
          <w:rFonts w:ascii="Times New Roman" w:hAnsi="Times New Roman" w:cs="Times New Roman"/>
          <w:sz w:val="28"/>
          <w:szCs w:val="28"/>
        </w:rPr>
        <w:t>3</w:t>
      </w:r>
      <w:r w:rsidRPr="00527539">
        <w:rPr>
          <w:rFonts w:ascii="Times New Roman" w:hAnsi="Times New Roman" w:cs="Times New Roman"/>
          <w:sz w:val="28"/>
          <w:szCs w:val="28"/>
        </w:rPr>
        <w:t>人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林樹均教授，甘炯耀教授，賴志煌教授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。委員互推</w:t>
      </w:r>
      <w:r w:rsidRPr="00527539">
        <w:rPr>
          <w:rFonts w:ascii="Times New Roman" w:hAnsi="Times New Roman" w:cs="Times New Roman"/>
          <w:sz w:val="28"/>
          <w:szCs w:val="28"/>
        </w:rPr>
        <w:t>1</w:t>
      </w:r>
      <w:r w:rsidRPr="00527539">
        <w:rPr>
          <w:rFonts w:ascii="Times New Roman" w:hAnsi="Times New Roman" w:cs="Times New Roman"/>
          <w:sz w:val="28"/>
          <w:szCs w:val="28"/>
        </w:rPr>
        <w:t>人為召集人。委員會成員之異動，得經提送委員會議後變更之。</w:t>
      </w:r>
      <w:r w:rsidRPr="005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本獎學金每年提供名額以</w:t>
      </w:r>
      <w:r w:rsidRPr="00527539">
        <w:rPr>
          <w:rFonts w:ascii="Times New Roman" w:hAnsi="Times New Roman" w:cs="Times New Roman"/>
          <w:sz w:val="28"/>
          <w:szCs w:val="28"/>
        </w:rPr>
        <w:t>6</w:t>
      </w:r>
      <w:r w:rsidRPr="00527539">
        <w:rPr>
          <w:rFonts w:ascii="Times New Roman" w:hAnsi="Times New Roman" w:cs="Times New Roman"/>
          <w:sz w:val="28"/>
          <w:szCs w:val="28"/>
        </w:rPr>
        <w:t>名為原則，每名</w:t>
      </w:r>
      <w:r w:rsidRPr="00527539">
        <w:rPr>
          <w:rFonts w:ascii="Times New Roman" w:hAnsi="Times New Roman" w:cs="Times New Roman"/>
          <w:sz w:val="28"/>
          <w:szCs w:val="28"/>
        </w:rPr>
        <w:t>6</w:t>
      </w:r>
      <w:r w:rsidRPr="00527539">
        <w:rPr>
          <w:rFonts w:ascii="Times New Roman" w:hAnsi="Times New Roman" w:cs="Times New Roman"/>
          <w:sz w:val="28"/>
          <w:szCs w:val="28"/>
        </w:rPr>
        <w:t>萬元新台幣，且不限制同時接受校內外其他種類獎學金。有特殊需求時得另外提出申請及審核。</w:t>
      </w:r>
      <w:r w:rsidRPr="005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申請資格：</w:t>
      </w:r>
      <w:r w:rsidRPr="005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39" w:rsidRDefault="00527539" w:rsidP="00BB0741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家境清寒之大學部及研究所學生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含新生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。</w:t>
      </w:r>
    </w:p>
    <w:p w:rsidR="00527539" w:rsidRDefault="00527539" w:rsidP="00BB0741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學年平均成績，大學部原則上應達</w:t>
      </w:r>
      <w:r w:rsidRPr="00527539">
        <w:rPr>
          <w:rFonts w:ascii="Times New Roman" w:hAnsi="Times New Roman" w:cs="Times New Roman"/>
          <w:sz w:val="28"/>
          <w:szCs w:val="28"/>
        </w:rPr>
        <w:t>65</w:t>
      </w:r>
      <w:r w:rsidRPr="00527539">
        <w:rPr>
          <w:rFonts w:ascii="Times New Roman" w:hAnsi="Times New Roman" w:cs="Times New Roman"/>
          <w:sz w:val="28"/>
          <w:szCs w:val="28"/>
        </w:rPr>
        <w:t>分以上，研究所原則上應達</w:t>
      </w:r>
      <w:r w:rsidRPr="00527539">
        <w:rPr>
          <w:rFonts w:ascii="Times New Roman" w:hAnsi="Times New Roman" w:cs="Times New Roman"/>
          <w:sz w:val="28"/>
          <w:szCs w:val="28"/>
        </w:rPr>
        <w:t>75</w:t>
      </w:r>
      <w:r w:rsidRPr="00527539">
        <w:rPr>
          <w:rFonts w:ascii="Times New Roman" w:hAnsi="Times New Roman" w:cs="Times New Roman"/>
          <w:sz w:val="28"/>
          <w:szCs w:val="28"/>
        </w:rPr>
        <w:t>分以上。新生不受本項限制。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檢附資料：</w:t>
      </w:r>
    </w:p>
    <w:p w:rsidR="00527539" w:rsidRDefault="00527539" w:rsidP="00BB0741">
      <w:pPr>
        <w:pStyle w:val="Default"/>
        <w:numPr>
          <w:ilvl w:val="0"/>
          <w:numId w:val="3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紙本申請表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請至材料系網頁下載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。</w:t>
      </w:r>
    </w:p>
    <w:p w:rsidR="00527539" w:rsidRDefault="00527539" w:rsidP="00BB0741">
      <w:pPr>
        <w:pStyle w:val="Default"/>
        <w:numPr>
          <w:ilvl w:val="0"/>
          <w:numId w:val="3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上學年成績單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新生免繳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。</w:t>
      </w:r>
    </w:p>
    <w:p w:rsidR="00527539" w:rsidRDefault="00527539" w:rsidP="00BB0741">
      <w:pPr>
        <w:pStyle w:val="Default"/>
        <w:numPr>
          <w:ilvl w:val="0"/>
          <w:numId w:val="3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自傳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請說明家庭狀況，特殊需求等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。</w:t>
      </w:r>
    </w:p>
    <w:p w:rsidR="00527539" w:rsidRDefault="00527539" w:rsidP="00BB0741">
      <w:pPr>
        <w:pStyle w:val="Default"/>
        <w:numPr>
          <w:ilvl w:val="0"/>
          <w:numId w:val="3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回饋計畫</w:t>
      </w:r>
      <w:r w:rsidRPr="00527539">
        <w:rPr>
          <w:rFonts w:ascii="Times New Roman" w:hAnsi="Times New Roman" w:cs="Times New Roman"/>
          <w:sz w:val="28"/>
          <w:szCs w:val="28"/>
        </w:rPr>
        <w:t>(</w:t>
      </w:r>
      <w:r w:rsidRPr="00527539">
        <w:rPr>
          <w:rFonts w:ascii="Times New Roman" w:hAnsi="Times New Roman" w:cs="Times New Roman"/>
          <w:sz w:val="28"/>
          <w:szCs w:val="28"/>
        </w:rPr>
        <w:t>不限年限之還款計畫</w:t>
      </w:r>
      <w:r w:rsidRPr="00527539">
        <w:rPr>
          <w:rFonts w:ascii="Times New Roman" w:hAnsi="Times New Roman" w:cs="Times New Roman"/>
          <w:sz w:val="28"/>
          <w:szCs w:val="28"/>
        </w:rPr>
        <w:t>)</w:t>
      </w:r>
      <w:r w:rsidRPr="00527539">
        <w:rPr>
          <w:rFonts w:ascii="Times New Roman" w:hAnsi="Times New Roman" w:cs="Times New Roman"/>
          <w:sz w:val="28"/>
          <w:szCs w:val="28"/>
        </w:rPr>
        <w:t>。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本獎學金之申請作業，於每年</w:t>
      </w:r>
      <w:r w:rsidRPr="00527539">
        <w:rPr>
          <w:rFonts w:ascii="Times New Roman" w:hAnsi="Times New Roman" w:cs="Times New Roman"/>
          <w:sz w:val="28"/>
          <w:szCs w:val="28"/>
        </w:rPr>
        <w:t>9</w:t>
      </w:r>
      <w:r w:rsidRPr="00527539">
        <w:rPr>
          <w:rFonts w:ascii="Times New Roman" w:hAnsi="Times New Roman" w:cs="Times New Roman"/>
          <w:sz w:val="28"/>
          <w:szCs w:val="28"/>
        </w:rPr>
        <w:t>月在材料系網頁公告，申請者備妥資料後送至材料系辦公室。收件截止後</w:t>
      </w:r>
      <w:r w:rsidRPr="00527539">
        <w:rPr>
          <w:rFonts w:ascii="Times New Roman" w:hAnsi="Times New Roman" w:cs="Times New Roman"/>
          <w:sz w:val="28"/>
          <w:szCs w:val="28"/>
        </w:rPr>
        <w:t>1</w:t>
      </w:r>
      <w:r w:rsidRPr="00527539">
        <w:rPr>
          <w:rFonts w:ascii="Times New Roman" w:hAnsi="Times New Roman" w:cs="Times New Roman"/>
          <w:sz w:val="28"/>
          <w:szCs w:val="28"/>
        </w:rPr>
        <w:t>個月內召開委員會議審核，審核結果除公告於材料系網頁外，並個別通知獲獎人。</w:t>
      </w:r>
    </w:p>
    <w:p w:rsid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本辦法於獎學金基金不足時，自動暫停實施。</w:t>
      </w:r>
    </w:p>
    <w:p w:rsidR="00527539" w:rsidRPr="00527539" w:rsidRDefault="00527539" w:rsidP="00BB0741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527539">
        <w:rPr>
          <w:rFonts w:ascii="Times New Roman" w:hAnsi="Times New Roman" w:cs="Times New Roman"/>
          <w:sz w:val="28"/>
          <w:szCs w:val="28"/>
        </w:rPr>
        <w:t>本辦法得經委員或吳泰伯教授家屬提議，並經委員會議通過後修正。</w:t>
      </w:r>
    </w:p>
    <w:p w:rsidR="0022240F" w:rsidRPr="00527539" w:rsidRDefault="00566F86" w:rsidP="00BB0741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sectPr w:rsidR="0022240F" w:rsidRPr="00527539" w:rsidSect="00527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86" w:rsidRDefault="00566F86" w:rsidP="001B54BF">
      <w:r>
        <w:separator/>
      </w:r>
    </w:p>
  </w:endnote>
  <w:endnote w:type="continuationSeparator" w:id="0">
    <w:p w:rsidR="00566F86" w:rsidRDefault="00566F86" w:rsidP="001B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86" w:rsidRDefault="00566F86" w:rsidP="001B54BF">
      <w:r>
        <w:separator/>
      </w:r>
    </w:p>
  </w:footnote>
  <w:footnote w:type="continuationSeparator" w:id="0">
    <w:p w:rsidR="00566F86" w:rsidRDefault="00566F86" w:rsidP="001B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E68"/>
    <w:multiLevelType w:val="hybridMultilevel"/>
    <w:tmpl w:val="799E2A28"/>
    <w:lvl w:ilvl="0" w:tplc="EC7CF248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C43359F"/>
    <w:multiLevelType w:val="hybridMultilevel"/>
    <w:tmpl w:val="462C8E1A"/>
    <w:lvl w:ilvl="0" w:tplc="C2A834FE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3B121C7"/>
    <w:multiLevelType w:val="hybridMultilevel"/>
    <w:tmpl w:val="EB5A76F8"/>
    <w:lvl w:ilvl="0" w:tplc="049E74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9"/>
    <w:rsid w:val="001B54BF"/>
    <w:rsid w:val="00527539"/>
    <w:rsid w:val="00566F86"/>
    <w:rsid w:val="00B842F4"/>
    <w:rsid w:val="00BA07D7"/>
    <w:rsid w:val="00B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5B5DE-FC16-4C60-956D-99EA942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5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77E-5875-46E3-8421-2F57785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2018-07-24T08:49:00Z</dcterms:created>
  <dcterms:modified xsi:type="dcterms:W3CDTF">2018-07-24T09:05:00Z</dcterms:modified>
</cp:coreProperties>
</file>